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65" w:rsidRPr="00893665" w:rsidRDefault="005177BA" w:rsidP="0089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ajorHAnsi" w:eastAsia="Times New Roman" w:hAnsiTheme="majorHAnsi" w:cstheme="minorHAnsi"/>
          <w:b/>
          <w:color w:val="2A2A2A"/>
          <w:kern w:val="36"/>
          <w:sz w:val="28"/>
          <w:lang w:eastAsia="it-IT" w:bidi="ar-SA"/>
        </w:rPr>
      </w:pPr>
      <w:r w:rsidRPr="00893665">
        <w:rPr>
          <w:rFonts w:asciiTheme="majorHAnsi" w:eastAsia="Times New Roman" w:hAnsiTheme="majorHAnsi" w:cstheme="minorHAnsi"/>
          <w:b/>
          <w:color w:val="2A2A2A"/>
          <w:kern w:val="36"/>
          <w:sz w:val="28"/>
          <w:lang w:eastAsia="it-IT" w:bidi="ar-SA"/>
        </w:rPr>
        <w:t>Il</w:t>
      </w:r>
      <w:r w:rsidR="00893665" w:rsidRPr="00893665">
        <w:rPr>
          <w:rFonts w:asciiTheme="majorHAnsi" w:eastAsia="Times New Roman" w:hAnsiTheme="majorHAnsi" w:cstheme="minorHAnsi"/>
          <w:b/>
          <w:color w:val="2A2A2A"/>
          <w:kern w:val="36"/>
          <w:sz w:val="28"/>
          <w:lang w:eastAsia="it-IT" w:bidi="ar-SA"/>
        </w:rPr>
        <w:t xml:space="preserve"> </w:t>
      </w:r>
      <w:r w:rsidRPr="00893665">
        <w:rPr>
          <w:rFonts w:asciiTheme="majorHAnsi" w:eastAsia="Times New Roman" w:hAnsiTheme="majorHAnsi" w:cstheme="minorHAnsi"/>
          <w:b/>
          <w:color w:val="2A2A2A"/>
          <w:kern w:val="36"/>
          <w:sz w:val="28"/>
          <w:lang w:eastAsia="it-IT" w:bidi="ar-SA"/>
        </w:rPr>
        <w:t>mistero</w:t>
      </w:r>
      <w:r w:rsidR="00893665" w:rsidRPr="00893665">
        <w:rPr>
          <w:rFonts w:asciiTheme="majorHAnsi" w:eastAsia="Times New Roman" w:hAnsiTheme="majorHAnsi" w:cstheme="minorHAnsi"/>
          <w:b/>
          <w:color w:val="2A2A2A"/>
          <w:kern w:val="36"/>
          <w:sz w:val="28"/>
          <w:lang w:eastAsia="it-IT" w:bidi="ar-SA"/>
        </w:rPr>
        <w:t xml:space="preserve"> </w:t>
      </w:r>
      <w:r w:rsidRPr="00893665">
        <w:rPr>
          <w:rFonts w:asciiTheme="majorHAnsi" w:eastAsia="Times New Roman" w:hAnsiTheme="majorHAnsi" w:cstheme="minorHAnsi"/>
          <w:b/>
          <w:color w:val="2A2A2A"/>
          <w:kern w:val="36"/>
          <w:sz w:val="28"/>
          <w:lang w:eastAsia="it-IT" w:bidi="ar-SA"/>
        </w:rPr>
        <w:t>di</w:t>
      </w:r>
      <w:r w:rsidR="00893665" w:rsidRPr="00893665">
        <w:rPr>
          <w:rFonts w:asciiTheme="majorHAnsi" w:eastAsia="Times New Roman" w:hAnsiTheme="majorHAnsi" w:cstheme="minorHAnsi"/>
          <w:b/>
          <w:color w:val="2A2A2A"/>
          <w:kern w:val="36"/>
          <w:sz w:val="28"/>
          <w:lang w:eastAsia="it-IT" w:bidi="ar-SA"/>
        </w:rPr>
        <w:t xml:space="preserve"> </w:t>
      </w:r>
      <w:r w:rsidRPr="00893665">
        <w:rPr>
          <w:rFonts w:asciiTheme="majorHAnsi" w:eastAsia="Times New Roman" w:hAnsiTheme="majorHAnsi" w:cstheme="minorHAnsi"/>
          <w:b/>
          <w:color w:val="2A2A2A"/>
          <w:kern w:val="36"/>
          <w:sz w:val="28"/>
          <w:lang w:eastAsia="it-IT" w:bidi="ar-SA"/>
        </w:rPr>
        <w:t>Dio</w:t>
      </w:r>
      <w:r w:rsidR="00893665" w:rsidRPr="00893665">
        <w:rPr>
          <w:rFonts w:asciiTheme="majorHAnsi" w:eastAsia="Times New Roman" w:hAnsiTheme="majorHAnsi" w:cstheme="minorHAnsi"/>
          <w:b/>
          <w:color w:val="2A2A2A"/>
          <w:kern w:val="36"/>
          <w:sz w:val="28"/>
          <w:lang w:eastAsia="it-IT" w:bidi="ar-SA"/>
        </w:rPr>
        <w:t xml:space="preserve"> </w:t>
      </w:r>
      <w:r w:rsidRPr="00893665">
        <w:rPr>
          <w:rFonts w:asciiTheme="majorHAnsi" w:eastAsia="Times New Roman" w:hAnsiTheme="majorHAnsi" w:cstheme="minorHAnsi"/>
          <w:b/>
          <w:color w:val="2A2A2A"/>
          <w:kern w:val="36"/>
          <w:sz w:val="28"/>
          <w:lang w:eastAsia="it-IT" w:bidi="ar-SA"/>
        </w:rPr>
        <w:t>nel</w:t>
      </w:r>
      <w:r w:rsidR="00893665" w:rsidRPr="00893665">
        <w:rPr>
          <w:rFonts w:asciiTheme="majorHAnsi" w:eastAsia="Times New Roman" w:hAnsiTheme="majorHAnsi" w:cstheme="minorHAnsi"/>
          <w:b/>
          <w:color w:val="2A2A2A"/>
          <w:kern w:val="36"/>
          <w:sz w:val="28"/>
          <w:lang w:eastAsia="it-IT" w:bidi="ar-SA"/>
        </w:rPr>
        <w:t xml:space="preserve"> </w:t>
      </w:r>
      <w:r w:rsidRPr="00893665">
        <w:rPr>
          <w:rFonts w:asciiTheme="majorHAnsi" w:eastAsia="Times New Roman" w:hAnsiTheme="majorHAnsi" w:cstheme="minorHAnsi"/>
          <w:b/>
          <w:color w:val="2A2A2A"/>
          <w:kern w:val="36"/>
          <w:sz w:val="28"/>
          <w:lang w:eastAsia="it-IT" w:bidi="ar-SA"/>
        </w:rPr>
        <w:t>vangelo</w:t>
      </w:r>
      <w:r w:rsidR="00893665" w:rsidRPr="00893665">
        <w:rPr>
          <w:rFonts w:asciiTheme="majorHAnsi" w:eastAsia="Times New Roman" w:hAnsiTheme="majorHAnsi" w:cstheme="minorHAnsi"/>
          <w:b/>
          <w:color w:val="2A2A2A"/>
          <w:kern w:val="36"/>
          <w:sz w:val="28"/>
          <w:lang w:eastAsia="it-IT" w:bidi="ar-SA"/>
        </w:rPr>
        <w:t xml:space="preserve"> </w:t>
      </w:r>
      <w:r w:rsidRPr="00893665">
        <w:rPr>
          <w:rFonts w:asciiTheme="majorHAnsi" w:eastAsia="Times New Roman" w:hAnsiTheme="majorHAnsi" w:cstheme="minorHAnsi"/>
          <w:b/>
          <w:color w:val="2A2A2A"/>
          <w:kern w:val="36"/>
          <w:sz w:val="28"/>
          <w:lang w:eastAsia="it-IT" w:bidi="ar-SA"/>
        </w:rPr>
        <w:t>secondo</w:t>
      </w:r>
      <w:r w:rsidR="00893665" w:rsidRPr="00893665">
        <w:rPr>
          <w:rFonts w:asciiTheme="majorHAnsi" w:eastAsia="Times New Roman" w:hAnsiTheme="majorHAnsi" w:cstheme="minorHAnsi"/>
          <w:b/>
          <w:color w:val="2A2A2A"/>
          <w:kern w:val="36"/>
          <w:sz w:val="28"/>
          <w:lang w:eastAsia="it-IT" w:bidi="ar-SA"/>
        </w:rPr>
        <w:t xml:space="preserve"> </w:t>
      </w:r>
      <w:r w:rsidRPr="00893665">
        <w:rPr>
          <w:rFonts w:asciiTheme="majorHAnsi" w:eastAsia="Times New Roman" w:hAnsiTheme="majorHAnsi" w:cstheme="minorHAnsi"/>
          <w:b/>
          <w:color w:val="2A2A2A"/>
          <w:kern w:val="36"/>
          <w:sz w:val="28"/>
          <w:lang w:eastAsia="it-IT" w:bidi="ar-SA"/>
        </w:rPr>
        <w:t>Marco</w:t>
      </w:r>
    </w:p>
    <w:p w:rsidR="005177BA" w:rsidRPr="00893665" w:rsidRDefault="00893665" w:rsidP="0089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ajorHAnsi" w:eastAsia="Times New Roman" w:hAnsiTheme="majorHAnsi" w:cstheme="minorHAnsi"/>
          <w:i/>
          <w:color w:val="2A2A2A"/>
          <w:kern w:val="36"/>
          <w:lang w:eastAsia="it-IT" w:bidi="ar-SA"/>
        </w:rPr>
      </w:pPr>
      <w:r w:rsidRPr="00893665">
        <w:rPr>
          <w:rFonts w:asciiTheme="majorHAnsi" w:eastAsia="Times New Roman" w:hAnsiTheme="majorHAnsi" w:cstheme="minorHAnsi"/>
          <w:i/>
          <w:color w:val="2A2A2A"/>
          <w:kern w:val="36"/>
          <w:lang w:eastAsia="it-IT" w:bidi="ar-SA"/>
        </w:rPr>
        <w:t xml:space="preserve">di </w:t>
      </w:r>
      <w:r w:rsidR="005177BA" w:rsidRPr="00893665">
        <w:rPr>
          <w:rFonts w:asciiTheme="majorHAnsi" w:eastAsia="Times New Roman" w:hAnsiTheme="majorHAnsi" w:cstheme="minorHAnsi"/>
          <w:i/>
          <w:color w:val="2A2A2A"/>
          <w:kern w:val="36"/>
          <w:lang w:eastAsia="it-IT" w:bidi="ar-SA"/>
        </w:rPr>
        <w:t>Carlo</w:t>
      </w:r>
      <w:r w:rsidRPr="00893665">
        <w:rPr>
          <w:rFonts w:asciiTheme="majorHAnsi" w:eastAsia="Times New Roman" w:hAnsiTheme="majorHAnsi" w:cstheme="minorHAnsi"/>
          <w:i/>
          <w:color w:val="2A2A2A"/>
          <w:kern w:val="36"/>
          <w:lang w:eastAsia="it-IT" w:bidi="ar-SA"/>
        </w:rPr>
        <w:t xml:space="preserve"> </w:t>
      </w:r>
      <w:r w:rsidR="005177BA" w:rsidRPr="00893665">
        <w:rPr>
          <w:rFonts w:asciiTheme="majorHAnsi" w:eastAsia="Times New Roman" w:hAnsiTheme="majorHAnsi" w:cstheme="minorHAnsi"/>
          <w:i/>
          <w:color w:val="2A2A2A"/>
          <w:kern w:val="36"/>
          <w:lang w:eastAsia="it-IT" w:bidi="ar-SA"/>
        </w:rPr>
        <w:t>Maria</w:t>
      </w:r>
      <w:r w:rsidRPr="00893665">
        <w:rPr>
          <w:rFonts w:asciiTheme="majorHAnsi" w:eastAsia="Times New Roman" w:hAnsiTheme="majorHAnsi" w:cstheme="minorHAnsi"/>
          <w:i/>
          <w:color w:val="2A2A2A"/>
          <w:kern w:val="36"/>
          <w:lang w:eastAsia="it-IT" w:bidi="ar-SA"/>
        </w:rPr>
        <w:t xml:space="preserve"> </w:t>
      </w:r>
      <w:r w:rsidR="005177BA" w:rsidRPr="00893665">
        <w:rPr>
          <w:rFonts w:asciiTheme="majorHAnsi" w:eastAsia="Times New Roman" w:hAnsiTheme="majorHAnsi" w:cstheme="minorHAnsi"/>
          <w:i/>
          <w:color w:val="2A2A2A"/>
          <w:kern w:val="36"/>
          <w:lang w:eastAsia="it-IT" w:bidi="ar-SA"/>
        </w:rPr>
        <w:t>Martini</w:t>
      </w:r>
    </w:p>
    <w:p w:rsidR="00893665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</w:p>
    <w:p w:rsidR="005177BA" w:rsidRPr="00893665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ab/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interessante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riflettere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mistero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vangelo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secondo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Marco;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meglio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ancora,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vedere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quale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parte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ha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il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senso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nel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cammino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Marco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propone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al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catecumeno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cioè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prepara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ad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abbracciare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fede.</w:t>
      </w:r>
    </w:p>
    <w:p w:rsidR="005177BA" w:rsidRPr="00893665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ab/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Anzitutto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notiamo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quanto,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fatto,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parli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poco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questo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vangelo,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quanto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sembri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scarsa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l’istruzione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consideriamo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menzioni,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accorgiamo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Marco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nome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occorre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37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volte,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contro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46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Matteo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108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Luca.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stesso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accade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menzione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>Padre:</w:t>
      </w:r>
      <w:r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parola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ricorre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13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volte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Marco,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appena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cinque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volte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riferita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mentre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Giovanni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ha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centinaia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occorrenze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nome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Padre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riferite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Dio;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perché,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evidentemente,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catechesi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Padre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parte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dell’istruzione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cristiano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illuminato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.</w:t>
      </w:r>
    </w:p>
    <w:p w:rsidR="005177BA" w:rsidRPr="00893665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ab/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Come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mai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questo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silenzio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su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Dio?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P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erché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parla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poco?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Dobbiamo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riportarci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situazione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concreta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catecumeno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nella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Chiesa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primitiva.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catecumeni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Chiesa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primitiva,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soprattutto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quelli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cui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rivolge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vangelo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Marco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–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provenienti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gran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parte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dal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paganesimo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-,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avevano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già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grande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senso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religioso.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era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loro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estraneo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pensiero,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parola,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vocabolo,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menzione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continua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Dio;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come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dice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bene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san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Paolo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parlando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appunto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pagani: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«Ce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sono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molti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sono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detti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cielo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sulla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terra,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sono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molti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tenuti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proofErr w:type="spellStart"/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dèi</w:t>
      </w:r>
      <w:proofErr w:type="spellEnd"/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molti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Signori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>(</w:t>
      </w:r>
      <w:proofErr w:type="spellStart"/>
      <w:r w:rsidR="005177BA" w:rsidRP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>kyrioi</w:t>
      </w:r>
      <w:proofErr w:type="spellEnd"/>
      <w:r w:rsidR="005177BA" w:rsidRP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>)</w:t>
      </w:r>
      <w:r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>…</w:t>
      </w:r>
      <w:r w:rsidR="005177BA" w:rsidRP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>»</w:t>
      </w:r>
      <w:r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(1</w:t>
      </w:r>
      <w:r w:rsidR="005177BA" w:rsidRP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>Corinzi</w:t>
      </w:r>
      <w:r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8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,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5).</w:t>
      </w:r>
    </w:p>
    <w:p w:rsidR="005177BA" w:rsidRPr="00893665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ab/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Tant’è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vero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Paolo,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entrando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Atene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irrita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presenza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continua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simulacri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divinità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chiama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gli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Ateniesi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estremamente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superstiziosi.</w:t>
      </w:r>
    </w:p>
    <w:p w:rsidR="00893665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ab/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catecumenato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veniva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dunque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impartito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gente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fondo,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l’aveva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bocca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anche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troppo.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Il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problema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non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era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tanto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educare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al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senso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della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divinità,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lottare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contro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una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religiosità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erronea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.</w:t>
      </w:r>
    </w:p>
    <w:p w:rsidR="005177BA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ab/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Possiamo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subito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chiederci: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davvero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peggiore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nostra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situazione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odierna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ateismo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diffuso?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Forse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più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facile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parlare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del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vero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in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una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situazione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ateismo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non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in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una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situazione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superstizione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dove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il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parlarne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può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essere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travisato,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stravolto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Come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veniva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fatta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catecumeno,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allora,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l’istruzione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Dio?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Era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compiuta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probabilmente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basandosi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gran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parte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sull’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Antico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Testamento,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particolare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salmi.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Il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libro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dei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Salmi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educava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il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catecumeno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al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vero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senso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comunità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primitiva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–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anche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cristiani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provenienti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dal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paganesimo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–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leggeva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sovente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conosceva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benissimo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singoli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salmi.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testimoniano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citazioni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frequentissime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Nuovo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Testamento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sarebbero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altrimenti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spiegabili.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Vogliamo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perciò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scorrere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brevemente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testi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principali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vangelo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Marco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–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quindicina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circa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–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dove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sono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accenni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diretti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indiretti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così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comprendere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gli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aspetti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vengono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sottolineati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perché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ritenuti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più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importanti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cammino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iniziale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verso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verso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l’intimità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Signore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Gesù.</w:t>
      </w:r>
    </w:p>
    <w:p w:rsidR="00893665" w:rsidRPr="00893665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</w:p>
    <w:p w:rsidR="005177BA" w:rsidRPr="00893665" w:rsidRDefault="005177BA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L’iniziativa</w:t>
      </w:r>
      <w:r w:rsid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misteriosa</w:t>
      </w:r>
      <w:r w:rsid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di</w:t>
      </w:r>
      <w:r w:rsid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Dio</w:t>
      </w:r>
      <w:r w:rsid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 xml:space="preserve"> </w:t>
      </w:r>
    </w:p>
    <w:p w:rsidR="005177BA" w:rsidRPr="00893665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ab/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Dio?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colui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prende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una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iniziativa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misteriosa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: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«Ecco,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mando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angelo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davanti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te»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>(Marco</w:t>
      </w:r>
      <w:r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1,2).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nominato,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colui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prende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iniziativa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misteriosa,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ben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definita;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qualcosa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sta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succedere;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qualche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maniera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viene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incontro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Egli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viene.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«Preparate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via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Signore»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(1,3):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sta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venendo.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Questa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indicazione,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chiara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misteriosa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insieme,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muove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iniziativa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verso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noi,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riappare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più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avanti: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«(Gesù)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vide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aprirsi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cieli…»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(1,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>10).</w:t>
      </w:r>
      <w:r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Padre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cieli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presente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nostra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realtà,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nostra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esperienza,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mette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comunicazione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dal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cielo.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comunica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attraverso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Figlio: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«Tu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sei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Figlio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prediletto,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sono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compiaciuto»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(1,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11).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Figlio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capiremo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qualcosa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dell’inconoscibile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mistero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appare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come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mistero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inconoscibile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certo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punto,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prende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iniziativa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misteriosa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nostri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confronti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viene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vicino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scuoterci.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molto;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detto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tutto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ciò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può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suscitare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senso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attesa,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preparazione.</w:t>
      </w:r>
    </w:p>
    <w:p w:rsidR="005177BA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ab/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Il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catecumeno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non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invitato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dire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subito: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«Dio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qui,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questo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quello»;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bensì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comprendere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colui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sta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per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prendere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possesso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della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sua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vita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gli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incontro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con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una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misteriosa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iniziativa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.</w:t>
      </w:r>
    </w:p>
    <w:p w:rsidR="00893665" w:rsidRPr="00893665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</w:p>
    <w:p w:rsidR="005177BA" w:rsidRPr="00893665" w:rsidRDefault="005177BA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Un</w:t>
      </w:r>
      <w:r w:rsid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Dio</w:t>
      </w:r>
      <w:r w:rsid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che</w:t>
      </w:r>
      <w:r w:rsid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perdona</w:t>
      </w:r>
    </w:p>
    <w:p w:rsidR="00893665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ab/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«Gesù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viene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Galilea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predicando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Vangelo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Dio»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(1,14);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indirettamente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sappiamo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il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del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Vangelo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«Si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avvicinato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Regno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Dio»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(1,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15);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il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del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Regno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tratta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due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indicazioni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assai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importanti: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ti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porta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una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buona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notizia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quale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sta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per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cambiare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tua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situazione;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sta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per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lastRenderedPageBreak/>
        <w:t>mettere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cose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posto,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misteriosamente.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quindi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colui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entra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nella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tua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vita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con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un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messaggio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sconvolgente,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pieno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letizia,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viene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riordinare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cose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della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tua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vita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ancora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ciò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vuole,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prepara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in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piena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disponibilità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novità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misteriosa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deve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entrare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nostro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intimo.</w:t>
      </w:r>
    </w:p>
    <w:p w:rsidR="005177BA" w:rsidRPr="00893665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ab/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altro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accenno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misterioso,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tutto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indiretto,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l’abbiamo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più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avanti: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«Gesù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mattino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alzò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quando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ancora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era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buio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uscito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casa,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ritirò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luogo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deserto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là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pregava»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(1,35).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colui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il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Cristo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prega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Gesù,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presentato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come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Figlio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modello,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misteriosa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unione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Dio;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noi,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pur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senza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sapere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molto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più,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troviamo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immersi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un’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atmosfera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attesa,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rispetto,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riverenza,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tensione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mistero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Cristo,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sta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rivelando.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Ancora,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capitolo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seguente: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«Chi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può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perdonare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peccati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solo?»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(2,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7).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frase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proferita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dagli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avversari,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serve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sottolineare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colui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può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perdonare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.</w:t>
      </w:r>
    </w:p>
    <w:p w:rsidR="005177BA" w:rsidRPr="00893665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ab/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questi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pochi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accenni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vediamo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viene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operato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un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rovesciamento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della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mentalità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pagana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quale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era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l’essere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disposizione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dell’uomo,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quale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l’uomo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poteva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mettere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mani,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farselo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propizio,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chiedendo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ottenendo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Lui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ciò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voleva;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fronte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quale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l’uomo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era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stato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attività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manipolatrice.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Ora,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invece,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l’uomo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posto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stato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totale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passività,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attesa,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ascolto,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riverenza,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rispetto.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sta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fare,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sta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mettere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opera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Regno.</w:t>
      </w:r>
    </w:p>
    <w:p w:rsidR="005177BA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ab/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dobbiamo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umilmente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ascoltare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senza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capire,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essere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pronti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ad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andare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là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dove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Egli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vuole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portare.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Dal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capitolo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2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avanti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sono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pochissime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menzioni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perché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opera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Gesù,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accinge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rivelarne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mistero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nella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persona;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conseguenza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catechesi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appare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primo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piano.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Una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volta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l’uomo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reso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disponibile,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incomincia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via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della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sequela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del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Figlio,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permette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purificarci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un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falso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modo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comprendere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Dio,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per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arrivare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conoscerlo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nella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verità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.</w:t>
      </w:r>
    </w:p>
    <w:p w:rsidR="00893665" w:rsidRPr="00893665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</w:p>
    <w:p w:rsidR="005177BA" w:rsidRPr="00893665" w:rsidRDefault="005177BA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Un</w:t>
      </w:r>
      <w:r w:rsid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Dio</w:t>
      </w:r>
      <w:r w:rsid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buono</w:t>
      </w:r>
      <w:r w:rsid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e</w:t>
      </w:r>
      <w:r w:rsid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fedele</w:t>
      </w:r>
    </w:p>
    <w:p w:rsidR="005177BA" w:rsidRPr="00893665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ab/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sono,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tuttavia,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capitoli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11,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12,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13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vangelo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Marco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quattro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menzioni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ricalcano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temi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biblico-anticotestamentari.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Esse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permettono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constatare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vangelo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marciano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perdevano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vista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alcuni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temi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fondamentali,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quali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punti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partenza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catechesi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«Dio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nostro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Signore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Gesù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Cristo».</w:t>
      </w:r>
    </w:p>
    <w:p w:rsidR="005177BA" w:rsidRPr="00893665" w:rsidRDefault="00893665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ab/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primo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tema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fondamentale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leggiamo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nella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risposta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Gesù: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«Nessuno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buono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Dio»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(Mt 19,17)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rivela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catecumeno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la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i/>
          <w:iCs/>
          <w:color w:val="3A3A3A"/>
          <w:kern w:val="0"/>
          <w:lang w:eastAsia="it-IT" w:bidi="ar-SA"/>
        </w:rPr>
        <w:t>bontà</w:t>
      </w:r>
      <w:r w:rsidRPr="00893665">
        <w:rPr>
          <w:rFonts w:asciiTheme="minorHAnsi" w:eastAsia="Times New Roman" w:hAnsiTheme="minorHAnsi" w:cstheme="minorHAnsi"/>
          <w:b/>
          <w:i/>
          <w:iCs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Dio,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l’unico</w:t>
      </w:r>
      <w:r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buono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amare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«con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tutto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cuore,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tutta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l’anima,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tutta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la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mente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tutte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forze»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come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detto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12,</w:t>
      </w:r>
      <w:r w:rsidR="005177BA" w:rsidRP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>30.</w:t>
      </w:r>
    </w:p>
    <w:p w:rsidR="005177BA" w:rsidRPr="00893665" w:rsidRDefault="005177BA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altro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passo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catechesi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anticotestamentaria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ritroviamo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capitolo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seguente: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l’esortazione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indicazione: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«</w:t>
      </w:r>
      <w:r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abbiate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Pr="004719E9">
        <w:rPr>
          <w:rFonts w:asciiTheme="minorHAnsi" w:eastAsia="Times New Roman" w:hAnsiTheme="minorHAnsi" w:cstheme="minorHAnsi"/>
          <w:b/>
          <w:i/>
          <w:iCs/>
          <w:color w:val="3A3A3A"/>
          <w:kern w:val="0"/>
          <w:lang w:eastAsia="it-IT" w:bidi="ar-SA"/>
        </w:rPr>
        <w:t>fede</w:t>
      </w:r>
      <w:r w:rsidR="004719E9" w:rsidRPr="004719E9">
        <w:rPr>
          <w:rFonts w:asciiTheme="minorHAnsi" w:eastAsia="Times New Roman" w:hAnsiTheme="minorHAnsi" w:cstheme="minorHAnsi"/>
          <w:b/>
          <w:i/>
          <w:iCs/>
          <w:color w:val="3A3A3A"/>
          <w:kern w:val="0"/>
          <w:lang w:eastAsia="it-IT" w:bidi="ar-SA"/>
        </w:rPr>
        <w:t xml:space="preserve"> </w:t>
      </w:r>
      <w:r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in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»(11,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22).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Notiamo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testo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greco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assai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più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misterioso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perché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dice: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proofErr w:type="spellStart"/>
      <w:r w:rsidRP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>échete</w:t>
      </w:r>
      <w:proofErr w:type="spellEnd"/>
      <w:r w:rsid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 xml:space="preserve"> </w:t>
      </w:r>
      <w:proofErr w:type="spellStart"/>
      <w:r w:rsidRP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>pistin</w:t>
      </w:r>
      <w:proofErr w:type="spellEnd"/>
      <w:r w:rsid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 xml:space="preserve"> </w:t>
      </w:r>
      <w:proofErr w:type="spellStart"/>
      <w:r w:rsidRP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>Theou</w:t>
      </w:r>
      <w:proofErr w:type="spellEnd"/>
      <w:r w:rsidRP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>;</w:t>
      </w:r>
      <w:r w:rsid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cioè,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capovolge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questione: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Dio?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colui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merita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fede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fiducia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colui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merita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Pr="004719E9">
        <w:rPr>
          <w:rFonts w:asciiTheme="minorHAnsi" w:eastAsia="Times New Roman" w:hAnsiTheme="minorHAnsi" w:cstheme="minorHAnsi"/>
          <w:b/>
          <w:i/>
          <w:iCs/>
          <w:color w:val="3A3A3A"/>
          <w:kern w:val="0"/>
          <w:lang w:eastAsia="it-IT" w:bidi="ar-SA"/>
        </w:rPr>
        <w:t>totale</w:t>
      </w:r>
      <w:r w:rsidR="00893665" w:rsidRPr="004719E9">
        <w:rPr>
          <w:rFonts w:asciiTheme="minorHAnsi" w:eastAsia="Times New Roman" w:hAnsiTheme="minorHAnsi" w:cstheme="minorHAnsi"/>
          <w:b/>
          <w:i/>
          <w:iCs/>
          <w:color w:val="3A3A3A"/>
          <w:kern w:val="0"/>
          <w:lang w:eastAsia="it-IT" w:bidi="ar-SA"/>
        </w:rPr>
        <w:t xml:space="preserve"> </w:t>
      </w:r>
      <w:r w:rsidRPr="004719E9">
        <w:rPr>
          <w:rFonts w:asciiTheme="minorHAnsi" w:eastAsia="Times New Roman" w:hAnsiTheme="minorHAnsi" w:cstheme="minorHAnsi"/>
          <w:b/>
          <w:i/>
          <w:iCs/>
          <w:color w:val="3A3A3A"/>
          <w:kern w:val="0"/>
          <w:lang w:eastAsia="it-IT" w:bidi="ar-SA"/>
        </w:rPr>
        <w:t>abbandono</w:t>
      </w:r>
      <w:r w:rsidRP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>:</w:t>
      </w:r>
      <w:r w:rsid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catecumeno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deve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abbandonarsi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mistero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vuole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agire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lui.</w:t>
      </w:r>
    </w:p>
    <w:p w:rsidR="005177BA" w:rsidRDefault="004719E9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ab/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Ancora,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accenno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anticotestamentario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capitolo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13;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il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della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i/>
          <w:iCs/>
          <w:color w:val="3A3A3A"/>
          <w:kern w:val="0"/>
          <w:lang w:eastAsia="it-IT" w:bidi="ar-SA"/>
        </w:rPr>
        <w:t>creazione</w:t>
      </w:r>
      <w:r w:rsidR="00893665">
        <w:rPr>
          <w:rFonts w:asciiTheme="minorHAnsi" w:eastAsia="Times New Roman" w:hAnsiTheme="minorHAnsi" w:cstheme="minorHAnsi"/>
          <w:i/>
          <w:iCs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ricordato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maniera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molto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indiretta: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«Dall’inizio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della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creazione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fino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giorno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d’oggi»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(13,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19).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temi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biblici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Unico,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Buono,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Fedele,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Creatore,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Realtà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suprema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amare,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erano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allora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molto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presenti;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Marco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dà,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infatti,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modello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catechesi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gente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credeva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questi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valori.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essi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costruita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l’idea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evangelica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viene,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prende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un’iniziativa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piena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mistero,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quale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bisogna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abbandonarsi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guida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mezzo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Cristo.</w:t>
      </w:r>
    </w:p>
    <w:p w:rsidR="004719E9" w:rsidRPr="00893665" w:rsidRDefault="004719E9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</w:p>
    <w:p w:rsidR="005177BA" w:rsidRPr="00893665" w:rsidRDefault="005177BA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 w:rsidRPr="00893665">
        <w:rPr>
          <w:rFonts w:asciiTheme="minorHAnsi" w:eastAsia="Times New Roman" w:hAnsiTheme="minorHAnsi" w:cstheme="minorHAnsi"/>
          <w:b/>
          <w:bCs/>
          <w:color w:val="3A3A3A"/>
          <w:kern w:val="0"/>
          <w:lang w:eastAsia="it-IT" w:bidi="ar-SA"/>
        </w:rPr>
        <w:t>Un</w:t>
      </w:r>
      <w:r w:rsidR="00893665">
        <w:rPr>
          <w:rFonts w:asciiTheme="minorHAnsi" w:eastAsia="Times New Roman" w:hAnsiTheme="minorHAnsi" w:cstheme="minorHAnsi"/>
          <w:b/>
          <w:b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Dio</w:t>
      </w:r>
      <w:r w:rsid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a</w:t>
      </w:r>
      <w:r w:rsid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cui</w:t>
      </w:r>
      <w:r w:rsid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tutto</w:t>
      </w:r>
      <w:r w:rsid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è</w:t>
      </w:r>
      <w:r w:rsid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 xml:space="preserve"> </w:t>
      </w:r>
      <w:r w:rsidRPr="00893665">
        <w:rPr>
          <w:rFonts w:asciiTheme="minorHAnsi" w:eastAsia="Times New Roman" w:hAnsiTheme="minorHAnsi" w:cstheme="minorHAnsi"/>
          <w:b/>
          <w:bCs/>
          <w:i/>
          <w:iCs/>
          <w:color w:val="3A3A3A"/>
          <w:kern w:val="0"/>
          <w:lang w:eastAsia="it-IT" w:bidi="ar-SA"/>
        </w:rPr>
        <w:t>possibile</w:t>
      </w:r>
    </w:p>
    <w:p w:rsidR="004719E9" w:rsidRDefault="004719E9" w:rsidP="00893665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ab/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Infine,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due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testi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basilari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rivelatori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dell’identità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Marco.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capitolo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14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preghiera: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«Abbà,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Padre!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Tutto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possibile,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allontana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questo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calice!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però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quello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voglio,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quello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tu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vuoi»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(v.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36).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sta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dietro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questa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rappresentazione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dataci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dalle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parole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Gesù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colui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cui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tutto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possibile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(idea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anticotestamentaria),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può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allontanare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calice,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realtà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fa.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quale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bisogna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rimettersi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totalmente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perché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ha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disposizione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completa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guida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vie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misteriose,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come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ha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guidato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Cristo.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Il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catecumeno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invitato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passare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un’idea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umanamente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prefabbricata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Dio,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in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cui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tutto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predisposto,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in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cui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egli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può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appoggiarsi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ottenere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ciò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vuole,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facendo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questo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quell’altro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atto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culto,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un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misteriosamente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interviene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conduce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con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bontà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porta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là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dove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Lui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vuole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attraverso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l’iniziativa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evangelica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salvezza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per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l’uomo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sempre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imprevedibile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sconcertante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.</w:t>
      </w:r>
    </w:p>
    <w:p w:rsidR="005177BA" w:rsidRPr="004719E9" w:rsidRDefault="004719E9" w:rsidP="004719E9">
      <w:pPr>
        <w:suppressAutoHyphens w:val="0"/>
        <w:jc w:val="both"/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ab/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L’ultimo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testo,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cui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Gesù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parla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più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drammatico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vangelo.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Sulla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croce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grida: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«Dio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mio,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lastRenderedPageBreak/>
        <w:t>Dio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mio,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perché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hai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abbandonato?»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(l5)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34).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Come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chiude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questo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brano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serie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pochi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accenni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mistero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Marco?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Perché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esso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abbiamo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culmine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della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rivelazione: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viene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presentato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vangelo,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cui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tutto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possibile,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ha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mano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ogni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cosa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quale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affidiamo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totalmente,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è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obbligato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fare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ciò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attendiamo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può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anche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esteriormente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abbandonarci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come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ha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abbandonato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suo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Figlio.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proofErr w:type="gramStart"/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</w:t>
      </w:r>
      <w:r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’</w:t>
      </w:r>
      <w:proofErr w:type="gramEnd"/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chiaro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nelle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parole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Gesù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c’è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pure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forte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senso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speranza,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tuttavia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non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bisogna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dimenticare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che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sono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parole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abbandono.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ha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lasciato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il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Cristo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in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una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situazione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amarezza,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desolazione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esteriore,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di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derelizione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umana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come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se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l’avesse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effettivamente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abbandonato.</w:t>
      </w:r>
      <w:r w:rsid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Il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catecumeno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sollecitato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riflettere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attentamente: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guarda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la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via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per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cui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ti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metti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non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facile,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non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una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via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in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cui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ti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assicurerà,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successo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in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successo,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una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riuscita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già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te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programmata;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ti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metti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nelle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mani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un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misterioso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è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buono,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che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vuole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di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te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il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meglio,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però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non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a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modo</w:t>
      </w:r>
      <w:r w:rsidR="00893665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 xml:space="preserve"> </w:t>
      </w:r>
      <w:r w:rsidR="005177BA" w:rsidRPr="004719E9">
        <w:rPr>
          <w:rFonts w:asciiTheme="minorHAnsi" w:eastAsia="Times New Roman" w:hAnsiTheme="minorHAnsi" w:cstheme="minorHAnsi"/>
          <w:b/>
          <w:color w:val="3A3A3A"/>
          <w:kern w:val="0"/>
          <w:lang w:eastAsia="it-IT" w:bidi="ar-SA"/>
        </w:rPr>
        <w:t>tuo</w:t>
      </w:r>
      <w:r w:rsidR="005177BA" w:rsidRPr="00893665">
        <w:rPr>
          <w:rFonts w:asciiTheme="minorHAnsi" w:eastAsia="Times New Roman" w:hAnsiTheme="minorHAnsi" w:cstheme="minorHAnsi"/>
          <w:color w:val="3A3A3A"/>
          <w:kern w:val="0"/>
          <w:lang w:eastAsia="it-IT" w:bidi="ar-SA"/>
        </w:rPr>
        <w:t>.</w:t>
      </w:r>
    </w:p>
    <w:sectPr w:rsidR="005177BA" w:rsidRPr="004719E9" w:rsidSect="004323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737" w:bottom="737" w:left="73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B3E" w:rsidRDefault="00185B3E" w:rsidP="004323D8">
      <w:r>
        <w:separator/>
      </w:r>
    </w:p>
  </w:endnote>
  <w:endnote w:type="continuationSeparator" w:id="0">
    <w:p w:rsidR="00185B3E" w:rsidRDefault="00185B3E" w:rsidP="0043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E9" w:rsidRDefault="004719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sdt>
    <w:sdtPr>
      <w:rPr>
        <w:rFonts w:asciiTheme="minorHAnsi" w:hAnsiTheme="minorHAnsi" w:cstheme="minorHAnsi"/>
        <w:sz w:val="20"/>
      </w:rPr>
      <w:id w:val="761810160"/>
      <w:docPartObj>
        <w:docPartGallery w:val="Page Numbers (Bottom of Page)"/>
        <w:docPartUnique/>
      </w:docPartObj>
    </w:sdtPr>
    <w:sdtContent>
      <w:p w:rsidR="00893665" w:rsidRPr="004719E9" w:rsidRDefault="00893665" w:rsidP="004323D8">
        <w:pPr>
          <w:pStyle w:val="Pidipagina"/>
          <w:jc w:val="center"/>
          <w:rPr>
            <w:rFonts w:asciiTheme="minorHAnsi" w:hAnsiTheme="minorHAnsi" w:cstheme="minorHAnsi"/>
            <w:sz w:val="20"/>
          </w:rPr>
        </w:pPr>
        <w:r w:rsidRPr="004719E9">
          <w:rPr>
            <w:rFonts w:asciiTheme="minorHAnsi" w:hAnsiTheme="minorHAnsi" w:cstheme="minorHAnsi"/>
            <w:sz w:val="20"/>
          </w:rPr>
          <w:fldChar w:fldCharType="begin"/>
        </w:r>
        <w:r w:rsidRPr="004719E9">
          <w:rPr>
            <w:rFonts w:asciiTheme="minorHAnsi" w:hAnsiTheme="minorHAnsi" w:cstheme="minorHAnsi"/>
            <w:sz w:val="20"/>
          </w:rPr>
          <w:instrText>PAGE   \* MERGEFORMAT</w:instrText>
        </w:r>
        <w:r w:rsidRPr="004719E9">
          <w:rPr>
            <w:rFonts w:asciiTheme="minorHAnsi" w:hAnsiTheme="minorHAnsi" w:cstheme="minorHAnsi"/>
            <w:sz w:val="20"/>
          </w:rPr>
          <w:fldChar w:fldCharType="separate"/>
        </w:r>
        <w:r w:rsidRPr="004719E9">
          <w:rPr>
            <w:rFonts w:asciiTheme="minorHAnsi" w:hAnsiTheme="minorHAnsi" w:cstheme="minorHAnsi"/>
            <w:noProof/>
            <w:sz w:val="20"/>
          </w:rPr>
          <w:t>1</w:t>
        </w:r>
        <w:r w:rsidRPr="004719E9">
          <w:rPr>
            <w:rFonts w:asciiTheme="minorHAnsi" w:hAnsiTheme="minorHAnsi" w:cstheme="minorHAnsi"/>
            <w:sz w:val="20"/>
          </w:rPr>
          <w:fldChar w:fldCharType="end"/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E9" w:rsidRDefault="004719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B3E" w:rsidRDefault="00185B3E" w:rsidP="004323D8">
      <w:r>
        <w:separator/>
      </w:r>
    </w:p>
  </w:footnote>
  <w:footnote w:type="continuationSeparator" w:id="0">
    <w:p w:rsidR="00185B3E" w:rsidRDefault="00185B3E" w:rsidP="0043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E9" w:rsidRDefault="004719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E9" w:rsidRDefault="004719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E9" w:rsidRDefault="004719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SortMethod w:val="0000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7BA"/>
    <w:rsid w:val="00066AEA"/>
    <w:rsid w:val="00180150"/>
    <w:rsid w:val="00185B3E"/>
    <w:rsid w:val="00277684"/>
    <w:rsid w:val="00355288"/>
    <w:rsid w:val="004323D8"/>
    <w:rsid w:val="00461B24"/>
    <w:rsid w:val="004719E9"/>
    <w:rsid w:val="005177BA"/>
    <w:rsid w:val="00623C64"/>
    <w:rsid w:val="006E3198"/>
    <w:rsid w:val="00793C98"/>
    <w:rsid w:val="00893665"/>
    <w:rsid w:val="008B7365"/>
    <w:rsid w:val="00923339"/>
    <w:rsid w:val="00B068D3"/>
    <w:rsid w:val="00BD622D"/>
    <w:rsid w:val="00C67DD8"/>
    <w:rsid w:val="00DF19DD"/>
    <w:rsid w:val="00F4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05754"/>
  <w15:docId w15:val="{72181B53-41CA-46EB-9BB8-DAB7F7C1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3339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3339"/>
    <w:pPr>
      <w:spacing w:after="12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23339"/>
    <w:pPr>
      <w:spacing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23339"/>
    <w:pPr>
      <w:spacing w:after="12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23339"/>
    <w:pPr>
      <w:keepNext/>
      <w:keepLines/>
      <w:outlineLvl w:val="3"/>
    </w:pPr>
    <w:rPr>
      <w:rFonts w:asciiTheme="majorHAnsi" w:eastAsiaTheme="majorEastAsia" w:hAnsiTheme="majorHAnsi" w:cs="Mangal"/>
      <w:bCs/>
      <w:i/>
      <w:i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3339"/>
    <w:rPr>
      <w:rFonts w:asciiTheme="majorHAnsi" w:eastAsiaTheme="majorEastAsia" w:hAnsiTheme="majorHAnsi" w:cstheme="majorBidi"/>
      <w:b/>
      <w:bCs/>
      <w:color w:val="000000" w:themeColor="text1"/>
      <w:kern w:val="1"/>
      <w:sz w:val="28"/>
      <w:szCs w:val="28"/>
      <w:lang w:eastAsia="hi-IN" w:bidi="hi-IN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923339"/>
    <w:rPr>
      <w:rFonts w:asciiTheme="minorHAnsi" w:hAnsiTheme="minorHAnsi"/>
      <w:sz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3339"/>
    <w:rPr>
      <w:rFonts w:asciiTheme="majorHAnsi" w:eastAsiaTheme="majorEastAsia" w:hAnsiTheme="majorHAnsi" w:cstheme="majorBidi"/>
      <w:b/>
      <w:bCs/>
      <w:color w:val="000000" w:themeColor="text1"/>
      <w:kern w:val="1"/>
      <w:sz w:val="28"/>
      <w:szCs w:val="2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9233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33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233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33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3339"/>
    <w:rPr>
      <w:rFonts w:asciiTheme="majorHAnsi" w:eastAsiaTheme="majorEastAsia" w:hAnsiTheme="majorHAnsi" w:cstheme="majorBidi"/>
      <w:b/>
      <w:bCs/>
      <w:i/>
      <w:color w:val="000000" w:themeColor="text1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23339"/>
    <w:rPr>
      <w:rFonts w:asciiTheme="majorHAnsi" w:eastAsiaTheme="majorEastAsia" w:hAnsiTheme="majorHAnsi" w:cs="Mangal"/>
      <w:bCs/>
      <w:i/>
      <w:iCs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92333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3339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styleId="Rimandonotaapidipagina">
    <w:name w:val="footnote reference"/>
    <w:rsid w:val="00923339"/>
    <w:rPr>
      <w:vertAlign w:val="superscript"/>
    </w:rPr>
  </w:style>
  <w:style w:type="paragraph" w:styleId="Paragrafoelenco">
    <w:name w:val="List Paragraph"/>
    <w:basedOn w:val="Normale"/>
    <w:uiPriority w:val="34"/>
    <w:rsid w:val="0092333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6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9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29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112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6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01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905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marcopaleari</dc:creator>
  <cp:lastModifiedBy>Marco Paleari</cp:lastModifiedBy>
  <cp:revision>2</cp:revision>
  <dcterms:created xsi:type="dcterms:W3CDTF">2016-03-02T13:58:00Z</dcterms:created>
  <dcterms:modified xsi:type="dcterms:W3CDTF">2022-04-25T17:43:00Z</dcterms:modified>
</cp:coreProperties>
</file>